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nodejs-is-callable 1.1.4</w:t>
      </w:r>
    </w:p>
    <w:p>
      <w:pPr/>
      <w:r>
        <w:rPr>
          <w:rStyle w:val="13"/>
          <w:rFonts w:ascii="Arial" w:hAnsi="Arial"/>
          <w:b/>
        </w:rPr>
        <w:t xml:space="preserve">Copyright notice: </w:t>
      </w:r>
    </w:p>
    <w:p>
      <w:pPr/>
      <w:r>
        <w:rPr>
          <w:rStyle w:val="13"/>
          <w:rFonts w:ascii="宋体" w:hAnsi="宋体"/>
          <w:sz w:val="22"/>
        </w:rPr>
        <w:t>Copyright (c) 2006, 2008 Junio C Hamano</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