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python-pytype 2024.10.11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2016 The TensorFlow Authors. All Rights Reserved.</w:t>
        <w:br/>
        <w:t>Copyright 2017 The TensorFlow Authors. All Rights Reserved.</w:t>
        <w:br/>
        <w:t>Copyright 2020 The TensorFlow Authors. All Rights Reserved.</w:t>
        <w:br/>
        <w:t>Copyright 2008 Google Inc. All rights reserved.</w:t>
        <w:br/>
        <w:t>Copyright 2022 The TensorFlow Authors. All Rights Reserved.</w:t>
        <w:br/>
        <w:t>Copyright (c) 2013, Ned Batchelder</w:t>
        <w:br/>
      </w:r>
    </w:p>
    <w:p>
      <w:pPr>
        <w:spacing w:line="420" w:lineRule="exact"/>
        <w:rPr>
          <w:rFonts w:hint="eastAsia"/>
        </w:rPr>
      </w:pPr>
      <w:r>
        <w:rPr>
          <w:rFonts w:ascii="Arial" w:hAnsi="Arial"/>
          <w:b/>
          <w:sz w:val="24"/>
        </w:rPr>
        <w:t xml:space="preserve">License: </w:t>
      </w:r>
      <w:r>
        <w:rPr>
          <w:rFonts w:ascii="Arial" w:hAnsi="Arial"/>
          <w:sz w:val="21"/>
        </w:rPr>
        <w:t>Apache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