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ghc-type-equality 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2009 Erik Hesselink, 2019 Oleg Grenrus, Ryan Scott</w:t>
        <w:br/>
      </w:r>
    </w:p>
    <w:p>
      <w:pPr>
        <w:spacing w:line="420" w:lineRule="exact"/>
        <w:rPr>
          <w:rFonts w:hint="eastAsia"/>
        </w:rPr>
      </w:pPr>
      <w:r>
        <w:rPr>
          <w:rFonts w:ascii="Arial" w:hAnsi="Arial"/>
          <w:b/>
          <w:sz w:val="24"/>
        </w:rPr>
        <w:t xml:space="preserve">License: </w:t>
      </w:r>
      <w:r>
        <w:rPr>
          <w:rFonts w:ascii="Arial" w:hAnsi="Arial"/>
          <w:sz w:val="21"/>
        </w:rPr>
        <w:t>BSD-3-Clause</w:t>
      </w:r>
    </w:p>
    <w:p>
      <w:pPr>
        <w:spacing w:line="420" w:lineRule="exact"/>
        <w:rPr>
          <w:rFonts w:hint="eastAsia" w:ascii="Arial" w:hAnsi="Arial"/>
          <w:b/>
          <w:sz w:val="24"/>
        </w:rPr>
      </w:pPr>
      <w:r>
        <w:rPr>
          <w:rFonts w:ascii="Times New Roman" w:hAnsi="Times New Roman"/>
          <w:sz w:val="21"/>
        </w:rP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3. Neither the name of the copyright holder nor the names of its contributors may be used to endorse or promote products derived from this software without specific prior written permission.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