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ivtv-firmware 20080701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r>
    </w:p>
    <w:p w:rsidR="00602C0E" w:rsidRDefault="009758FB">
      <w:pPr>
        <w:spacing w:line="420" w:lineRule="exact"/>
      </w:pPr>
      <w:r>
        <w:rPr>
          <w:rFonts w:ascii="Arial" w:hAnsi="Arial"/>
          <w:b/>
          <w:sz w:val="24"/>
        </w:rPr>
        <w:t xml:space="preserve">License: </w:t>
      </w:r>
      <w:r>
        <w:rPr>
          <w:rFonts w:ascii="Arial" w:hAnsi="Arial"/>
          <w:sz w:val="21"/>
        </w:rPr>
        <w:t>Redistributable, no modification permitted</w:t>
      </w:r>
    </w:p>
    <w:p w:rsidR="00602C0E" w:rsidRDefault="009758FB">
      <w:pPr>
        <w:spacing w:line="420" w:lineRule="exact"/>
      </w:pPr>
      <w:r>
        <w:rPr>
          <w:rFonts w:ascii="Times New Roman" w:hAnsi="Times New Roman"/>
          <w:sz w:val="21"/>
        </w:rP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