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python-libconf 2.0.1</w:t>
      </w:r>
    </w:p>
    <w:p>
      <w:pPr/>
      <w:r>
        <w:rPr>
          <w:rStyle w:val="13"/>
          <w:rFonts w:ascii="Arial" w:hAnsi="Arial"/>
          <w:b/>
        </w:rPr>
        <w:t xml:space="preserve">Copyright notice: </w:t>
      </w:r>
    </w:p>
    <w:p>
      <w:pPr/>
      <w:r>
        <w:rPr>
          <w:rStyle w:val="13"/>
          <w:rFonts w:ascii="宋体" w:hAnsi="宋体"/>
          <w:sz w:val="22"/>
        </w:rPr>
        <w:t>Copyright (c) 2016 Christian Aichinger &lt;Greek0@gmx.net&gt;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